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b w:val="1"/>
          <w:i w:val="1"/>
          <w:color w:val="9900ff"/>
          <w:sz w:val="60"/>
          <w:szCs w:val="60"/>
          <w:rtl w:val="0"/>
        </w:rPr>
        <w:t xml:space="preserve">Hei ora mō ake tonu e (Anō te pai)</w:t>
      </w:r>
      <w:r w:rsidDel="00000000" w:rsidR="00000000" w:rsidRPr="00000000">
        <w:rPr>
          <w:color w:val="9900ff"/>
          <w:sz w:val="60"/>
          <w:szCs w:val="60"/>
          <w:rtl w:val="0"/>
        </w:rPr>
        <w:br w:type="textWrapping"/>
      </w:r>
      <w:r w:rsidDel="00000000" w:rsidR="00000000" w:rsidRPr="00000000">
        <w:rPr>
          <w:sz w:val="60"/>
          <w:szCs w:val="60"/>
          <w:rtl w:val="0"/>
        </w:rPr>
        <w:t xml:space="preserve">Anō te pai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 ahuareka 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 nohonga o ngā teina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Ko ngā tuakana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Kotahi ana rā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 runga i te ara pai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Kei te tōmairangi o Heremona 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Ki te maunga o Hiona 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I whakahuatia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 kupu o te atua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Hei ora mō ake tonu 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